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黑体_GBK" w:hAnsi="Times New Roman" w:eastAsia="方正黑体_GBK" w:cs="Times New Roman"/>
          <w:bCs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宿迁</w:t>
      </w:r>
      <w:r>
        <w:rPr>
          <w:rFonts w:hint="eastAsia" w:ascii="方正小标宋简体" w:eastAsia="方正小标宋简体"/>
          <w:sz w:val="44"/>
          <w:szCs w:val="44"/>
        </w:rPr>
        <w:t>市第十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届</w:t>
      </w:r>
      <w:r>
        <w:rPr>
          <w:rFonts w:hint="eastAsia" w:ascii="方正小标宋简体" w:eastAsia="方正小标宋简体"/>
          <w:sz w:val="44"/>
          <w:szCs w:val="44"/>
        </w:rPr>
        <w:t>哲学社会科学获奖成果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奖金分配方案</w:t>
      </w: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成果名称/等级：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26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金额（元）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sz w:val="32"/>
                <w:szCs w:val="32"/>
              </w:rPr>
              <w:t>分配理据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8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8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line="8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（如：课题主持人）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8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8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line="8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（如：课题执笔人）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8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spacing w:line="800" w:lineRule="exact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460" w:type="dxa"/>
          </w:tcPr>
          <w:p>
            <w:pPr>
              <w:spacing w:line="8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（如：科研助理）</w:t>
            </w:r>
          </w:p>
        </w:tc>
      </w:tr>
    </w:tbl>
    <w:p>
      <w:pPr>
        <w:spacing w:line="8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开户名：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（名字中间不留空格）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>；</w:t>
      </w:r>
    </w:p>
    <w:p>
      <w:pPr>
        <w:spacing w:line="8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银行卡号：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（数字中间不留空格）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>；</w:t>
      </w:r>
    </w:p>
    <w:p>
      <w:pPr>
        <w:spacing w:line="8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开户行：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统一用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工商银行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卡，例如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工商银行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宿迁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</w:rPr>
        <w:t>分行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spacing w:line="800" w:lineRule="exact"/>
        <w:rPr>
          <w:rFonts w:ascii="方正楷体_GBK" w:hAnsi="Times New Roman" w:eastAsia="方正楷体_GBK" w:cs="Times New Roman"/>
          <w:sz w:val="28"/>
          <w:szCs w:val="28"/>
        </w:rPr>
      </w:pPr>
      <w:r>
        <w:rPr>
          <w:rFonts w:hint="eastAsia" w:ascii="方正楷体_GBK" w:hAnsi="Times New Roman" w:eastAsia="方正楷体_GBK" w:cs="Times New Roman"/>
          <w:sz w:val="28"/>
          <w:szCs w:val="28"/>
        </w:rPr>
        <w:t>备注：内容请填写清晰，以免转账出错。</w:t>
      </w:r>
    </w:p>
    <w:p>
      <w:pPr>
        <w:spacing w:line="80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80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 xml:space="preserve">负责人签名：         </w:t>
      </w:r>
    </w:p>
    <w:p>
      <w:pPr>
        <w:ind w:firstLine="4800" w:firstLineChars="1500"/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月   日</w:t>
      </w: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Adobe 明體 Std 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dobe 明體 Std 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ZGQzOWE0YjZhNDk4ODMxNGExOTRlZDMzYzIyM2EifQ=="/>
  </w:docVars>
  <w:rsids>
    <w:rsidRoot w:val="3AE33E8F"/>
    <w:rsid w:val="3AE33E8F"/>
    <w:rsid w:val="518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2023-10-17T09:07:00Z</dcterms:created>
  <dc:creator>WPS_1655082733</dc:creator>
  <cp:lastModifiedBy>WPS_1655082733</cp:lastModifiedBy>
  <dcterms:modified xsi:type="dcterms:W3CDTF">2023-10-17T09:08:31Z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8A316C597D04479D83BFC060251845C1_11</vt:lpwstr>
  </property>
</Properties>
</file>