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附件</w:t>
      </w:r>
      <w:r>
        <w:rPr>
          <w:rFonts w:ascii="Times New Roman" w:hAnsi="Times New Roman" w:eastAsia="黑体"/>
          <w:bCs/>
          <w:sz w:val="32"/>
          <w:szCs w:val="32"/>
        </w:rPr>
        <w:t xml:space="preserve">1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年度宿迁市社科研究课题指南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重点课题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1.宿迁因地制宜发展新质生产力研究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构筑中国式现代化宿迁新实践特色优势研究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3.“四化”同步发展背景下推动宿迁由农业大市向农业强市转变路径研究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宿迁乡村全面振兴实现路径研究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5.习近平文化思想在宿迁实践路径研究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6.“十五五”时期宿迁市国民经济与社会发展战略及总体思路研究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推动宿迁数字经济高质量发展的对策研究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8.宿迁推进战略性新兴产业高质量发展路径研究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人文经济学的宿迁实践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10.宿迁特色文化建设的挖掘与打造研究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全市科技服务业发展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现状分析及对策建议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2.重要科创平台支撑媒体深入融合发展路径探究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3.擦亮“无废宿迁”新名片探索减污降碳新路径研究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社会治理现代化的宿迁实践与对策建议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5.宿迁市政务服务体系和服务能力现代化研究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6.宿迁市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" w:eastAsia="zh-CN"/>
        </w:rPr>
        <w:t>现代服务业高质量发展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路径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" w:eastAsia="zh-CN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7.宿迁市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" w:eastAsia="zh-CN"/>
        </w:rPr>
        <w:t>土地制度改革创新与城乡融合发展研究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8.推动宿迁制造业绿色转型对策研究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9.推动交通重大项目建设助力宿迁经济社会发展路径研究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10.宿迁市生态产品总值提升路径研究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11.构建宿迁市新时代教育评价体系研究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12.宿迁市共同富裕路径研究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13.宿迁市智慧农业发展的现状、问题及基本路径研究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14.宿迁制造业企业智改数转的瓶颈因素与突破路径研究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15.推动宿迁文旅产业提质增效的对策研究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16.双中心格局下宿迁区域一体化发展的对策研究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17.宿迁市物流新质生产力发展现状及实现路径研究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18.宿迁马拉松赛事“跑热”城市经济：资源禀赋、耦合机制与优化路径研究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19.数字经济时代宿迁传统制造业企业财务管理转型策略研究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宿迁推进高端纺织业产业发展的研究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21.宿迁现代农业新质生产力发展的理论逻辑、关键问题与现实路径研究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22.宿迁市农民数字素养提升路径研究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23.宿迁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乡村振兴中妇女作用发挥研究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24.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宿迁大运河自然资源资产和文化遗产保护利用的路径研究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25.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政府投资基金及国企投资基金规范管理的路径研究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26.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推动宿迁籍在外人才返乡创业就业问题研究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27.统一大市场背景下企业税收合规与风险防范研究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28.新时代“枫桥经验”检察履职研究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29.推动宿迁高水平开放发展的对策研究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30.宿迁市加快建设高水平“电商名城”的路径研究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E4FE94"/>
    <w:multiLevelType w:val="singleLevel"/>
    <w:tmpl w:val="B3E4FE9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xMzRhYTE0NDc5MDcyMmQyODdlY2UwOTUwNmIyYWEifQ=="/>
  </w:docVars>
  <w:rsids>
    <w:rsidRoot w:val="105E3AF8"/>
    <w:rsid w:val="105E3AF8"/>
    <w:rsid w:val="491C3750"/>
    <w:rsid w:val="4CD50128"/>
    <w:rsid w:val="7871230C"/>
    <w:rsid w:val="7BCA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2024-03-29T08:37:00Z</dcterms:created>
  <dc:creator>qzuser</dc:creator>
  <cp:lastModifiedBy>qzuser</cp:lastModifiedBy>
  <dcterms:modified xsi:type="dcterms:W3CDTF">2024-03-29T08:37:56Z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A474E43188EB490183D8AEBE6A997250_11</vt:lpwstr>
  </property>
</Properties>
</file>